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w:t>
      </w:r>
    </w:p>
    <w:p>
      <w:pPr>
        <w:spacing w:line="560" w:lineRule="exact"/>
        <w:rPr>
          <w:rFonts w:ascii="仿宋_GB2312" w:eastAsia="仿宋_GB2312"/>
          <w:sz w:val="32"/>
          <w:szCs w:val="32"/>
        </w:rPr>
      </w:pPr>
    </w:p>
    <w:p>
      <w:pPr>
        <w:widowControl/>
        <w:spacing w:line="660" w:lineRule="exact"/>
        <w:jc w:val="center"/>
        <w:rPr>
          <w:rFonts w:ascii="方正小标宋简体" w:hAnsi="仿宋" w:eastAsia="方正小标宋简体" w:cs="Helvetica"/>
          <w:kern w:val="0"/>
          <w:sz w:val="44"/>
          <w:szCs w:val="44"/>
        </w:rPr>
      </w:pPr>
      <w:bookmarkStart w:id="1" w:name="_GoBack"/>
      <w:r>
        <w:rPr>
          <w:rFonts w:hint="eastAsia" w:ascii="方正小标宋简体" w:hAnsi="仿宋" w:eastAsia="方正小标宋简体" w:cs="Helvetica"/>
          <w:kern w:val="0"/>
          <w:sz w:val="44"/>
          <w:szCs w:val="44"/>
        </w:rPr>
        <w:t>2</w:t>
      </w:r>
      <w:r>
        <w:rPr>
          <w:rFonts w:ascii="方正小标宋简体" w:hAnsi="仿宋" w:eastAsia="方正小标宋简体" w:cs="Helvetica"/>
          <w:kern w:val="0"/>
          <w:sz w:val="44"/>
          <w:szCs w:val="44"/>
        </w:rPr>
        <w:t>024</w:t>
      </w:r>
      <w:r>
        <w:rPr>
          <w:rFonts w:hint="eastAsia" w:ascii="方正小标宋简体" w:hAnsi="仿宋" w:eastAsia="方正小标宋简体" w:cs="Helvetica"/>
          <w:kern w:val="0"/>
          <w:sz w:val="44"/>
          <w:szCs w:val="44"/>
        </w:rPr>
        <w:t>年南通理工学院高等数学竞赛</w:t>
      </w:r>
    </w:p>
    <w:p>
      <w:pPr>
        <w:widowControl/>
        <w:spacing w:line="660" w:lineRule="exact"/>
        <w:jc w:val="center"/>
        <w:rPr>
          <w:rFonts w:ascii="方正小标宋简体" w:hAnsi="仿宋" w:eastAsia="方正小标宋简体" w:cs="Helvetica"/>
          <w:kern w:val="0"/>
          <w:sz w:val="44"/>
          <w:szCs w:val="44"/>
        </w:rPr>
      </w:pPr>
      <w:r>
        <w:rPr>
          <w:rFonts w:hint="eastAsia" w:ascii="方正小标宋简体" w:hAnsi="仿宋" w:eastAsia="方正小标宋简体" w:cs="Helvetica"/>
          <w:kern w:val="0"/>
          <w:sz w:val="44"/>
          <w:szCs w:val="44"/>
        </w:rPr>
        <w:t>暨江苏省普通高等学校第二十一届高等数学竞赛校内选拔赛实施方案</w:t>
      </w:r>
    </w:p>
    <w:bookmarkEnd w:id="1"/>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教育部新时代高等教育有关会议精神，加强高等学校课程教学过程管理，推动我校高等数学课程教学改革，增加课程难度，拓宽课程深度，打造一流课程，激发和提高学生学习的积极性，让学生“忙起来”，提升高等数学教学质量，现组织学生参加202</w:t>
      </w:r>
      <w:r>
        <w:rPr>
          <w:rFonts w:ascii="仿宋_GB2312" w:eastAsia="仿宋_GB2312"/>
          <w:sz w:val="32"/>
          <w:szCs w:val="32"/>
        </w:rPr>
        <w:t>4</w:t>
      </w:r>
      <w:r>
        <w:rPr>
          <w:rFonts w:hint="eastAsia" w:ascii="仿宋_GB2312" w:eastAsia="仿宋_GB2312"/>
          <w:sz w:val="32"/>
          <w:szCs w:val="32"/>
        </w:rPr>
        <w:t>年南通理工学院高等数学竞赛暨江苏省普通高等学校第二十一届高等数学竞赛校内选拔赛。</w:t>
      </w:r>
    </w:p>
    <w:p>
      <w:pPr>
        <w:spacing w:line="560" w:lineRule="exact"/>
        <w:ind w:firstLine="627" w:firstLineChars="196"/>
        <w:rPr>
          <w:rFonts w:ascii="黑体" w:hAnsi="黑体" w:eastAsia="黑体"/>
          <w:bCs/>
          <w:color w:val="000000"/>
          <w:sz w:val="32"/>
          <w:szCs w:val="32"/>
        </w:rPr>
      </w:pPr>
      <w:r>
        <w:rPr>
          <w:rFonts w:hint="eastAsia" w:ascii="黑体" w:hAnsi="黑体" w:eastAsia="黑体"/>
          <w:bCs/>
          <w:color w:val="000000"/>
          <w:sz w:val="32"/>
          <w:szCs w:val="32"/>
        </w:rPr>
        <w:t>一、竞赛领导小组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组  长：张明明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副组长：梁 </w:t>
      </w:r>
      <w:r>
        <w:rPr>
          <w:rFonts w:ascii="仿宋_GB2312" w:eastAsia="仿宋_GB2312"/>
          <w:color w:val="000000"/>
          <w:sz w:val="32"/>
          <w:szCs w:val="32"/>
        </w:rPr>
        <w:t xml:space="preserve"> </w:t>
      </w:r>
      <w:r>
        <w:rPr>
          <w:rFonts w:hint="eastAsia" w:ascii="仿宋_GB2312" w:eastAsia="仿宋_GB2312"/>
          <w:color w:val="000000"/>
          <w:sz w:val="32"/>
          <w:szCs w:val="32"/>
        </w:rPr>
        <w:t xml:space="preserve">辉、刘 </w:t>
      </w:r>
      <w:r>
        <w:rPr>
          <w:rFonts w:ascii="仿宋_GB2312" w:eastAsia="仿宋_GB2312"/>
          <w:color w:val="000000"/>
          <w:sz w:val="32"/>
          <w:szCs w:val="32"/>
        </w:rPr>
        <w:t xml:space="preserve"> </w:t>
      </w:r>
      <w:r>
        <w:rPr>
          <w:rFonts w:hint="eastAsia" w:ascii="仿宋_GB2312" w:eastAsia="仿宋_GB2312"/>
          <w:color w:val="000000"/>
          <w:sz w:val="32"/>
          <w:szCs w:val="32"/>
        </w:rPr>
        <w:t>芬</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成  员：张燕艳、张 </w:t>
      </w:r>
      <w:r>
        <w:rPr>
          <w:rFonts w:ascii="仿宋_GB2312" w:eastAsia="仿宋_GB2312"/>
          <w:color w:val="000000"/>
          <w:sz w:val="32"/>
          <w:szCs w:val="32"/>
        </w:rPr>
        <w:t xml:space="preserve"> </w:t>
      </w:r>
      <w:r>
        <w:rPr>
          <w:rFonts w:hint="eastAsia" w:ascii="仿宋_GB2312" w:eastAsia="仿宋_GB2312"/>
          <w:color w:val="000000"/>
          <w:sz w:val="32"/>
          <w:szCs w:val="32"/>
        </w:rPr>
        <w:t xml:space="preserve">锦、李 </w:t>
      </w:r>
      <w:r>
        <w:rPr>
          <w:rFonts w:ascii="仿宋_GB2312" w:eastAsia="仿宋_GB2312"/>
          <w:color w:val="000000"/>
          <w:sz w:val="32"/>
          <w:szCs w:val="32"/>
        </w:rPr>
        <w:t xml:space="preserve"> </w:t>
      </w:r>
      <w:r>
        <w:rPr>
          <w:rFonts w:hint="eastAsia" w:ascii="仿宋_GB2312" w:eastAsia="仿宋_GB2312"/>
          <w:color w:val="000000"/>
          <w:sz w:val="32"/>
          <w:szCs w:val="32"/>
        </w:rPr>
        <w:t>苗</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领导小组下设办公室（C楼308室）</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联系人：张 </w:t>
      </w:r>
      <w:r>
        <w:rPr>
          <w:rFonts w:ascii="仿宋_GB2312" w:eastAsia="仿宋_GB2312"/>
          <w:color w:val="000000"/>
          <w:sz w:val="32"/>
          <w:szCs w:val="32"/>
        </w:rPr>
        <w:t xml:space="preserve"> </w:t>
      </w:r>
      <w:r>
        <w:rPr>
          <w:rFonts w:hint="eastAsia" w:ascii="仿宋_GB2312" w:eastAsia="仿宋_GB2312"/>
          <w:color w:val="000000"/>
          <w:sz w:val="32"/>
          <w:szCs w:val="32"/>
        </w:rPr>
        <w:t>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电  话：</w:t>
      </w:r>
      <w:r>
        <w:rPr>
          <w:rFonts w:ascii="仿宋_GB2312" w:eastAsia="仿宋_GB2312"/>
          <w:color w:val="000000"/>
          <w:sz w:val="32"/>
          <w:szCs w:val="32"/>
        </w:rPr>
        <w:t>18761738635</w:t>
      </w:r>
    </w:p>
    <w:p>
      <w:pPr>
        <w:spacing w:line="560" w:lineRule="exact"/>
        <w:ind w:firstLine="627" w:firstLineChars="196"/>
        <w:rPr>
          <w:rFonts w:ascii="黑体" w:hAnsi="黑体" w:eastAsia="黑体"/>
          <w:bCs/>
          <w:color w:val="000000"/>
          <w:sz w:val="32"/>
          <w:szCs w:val="32"/>
        </w:rPr>
      </w:pPr>
      <w:r>
        <w:rPr>
          <w:rFonts w:hint="eastAsia" w:ascii="黑体" w:hAnsi="黑体" w:eastAsia="黑体"/>
          <w:bCs/>
          <w:color w:val="000000"/>
          <w:sz w:val="32"/>
          <w:szCs w:val="32"/>
        </w:rPr>
        <w:t>二、竞赛对象</w:t>
      </w:r>
    </w:p>
    <w:p>
      <w:pPr>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我校修过《高等数学》（含《医用高等数学》）课程的</w:t>
      </w:r>
      <w:r>
        <w:rPr>
          <w:rFonts w:ascii="仿宋_GB2312" w:hAnsi="仿宋" w:eastAsia="仿宋_GB2312"/>
          <w:sz w:val="32"/>
          <w:szCs w:val="32"/>
        </w:rPr>
        <w:t>全日制</w:t>
      </w:r>
      <w:r>
        <w:rPr>
          <w:rFonts w:hint="eastAsia" w:ascii="仿宋_GB2312" w:hAnsi="仿宋" w:eastAsia="仿宋_GB2312"/>
          <w:sz w:val="32"/>
          <w:szCs w:val="32"/>
        </w:rPr>
        <w:t>在籍本科生。</w:t>
      </w:r>
    </w:p>
    <w:p>
      <w:pPr>
        <w:spacing w:line="560" w:lineRule="exact"/>
        <w:ind w:firstLine="627" w:firstLineChars="196"/>
        <w:rPr>
          <w:rFonts w:ascii="黑体" w:hAnsi="黑体" w:eastAsia="黑体"/>
          <w:bCs/>
          <w:color w:val="000000"/>
          <w:sz w:val="32"/>
          <w:szCs w:val="32"/>
        </w:rPr>
      </w:pPr>
      <w:r>
        <w:rPr>
          <w:rFonts w:hint="eastAsia" w:ascii="黑体" w:hAnsi="黑体" w:eastAsia="黑体"/>
          <w:bCs/>
          <w:color w:val="000000"/>
          <w:sz w:val="32"/>
          <w:szCs w:val="32"/>
        </w:rPr>
        <w:t>三、竞赛类别</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本科二级。</w:t>
      </w:r>
    </w:p>
    <w:p>
      <w:pPr>
        <w:spacing w:line="560" w:lineRule="exact"/>
        <w:ind w:firstLine="627" w:firstLineChars="196"/>
        <w:rPr>
          <w:rFonts w:ascii="黑体" w:hAnsi="黑体" w:eastAsia="黑体"/>
          <w:bCs/>
          <w:color w:val="000000"/>
          <w:sz w:val="32"/>
          <w:szCs w:val="32"/>
        </w:rPr>
      </w:pPr>
      <w:r>
        <w:rPr>
          <w:rFonts w:hint="eastAsia" w:ascii="黑体" w:hAnsi="黑体" w:eastAsia="黑体"/>
          <w:bCs/>
          <w:color w:val="000000"/>
          <w:sz w:val="32"/>
          <w:szCs w:val="32"/>
        </w:rPr>
        <w:t>四、竞赛方式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笔试，由校内竞赛命题组统一命题。</w:t>
      </w:r>
    </w:p>
    <w:p>
      <w:pPr>
        <w:spacing w:line="560" w:lineRule="exact"/>
        <w:ind w:firstLine="627" w:firstLineChars="196"/>
        <w:rPr>
          <w:rFonts w:ascii="黑体" w:hAnsi="黑体" w:eastAsia="黑体"/>
          <w:bCs/>
          <w:color w:val="000000"/>
          <w:sz w:val="32"/>
          <w:szCs w:val="32"/>
        </w:rPr>
      </w:pPr>
      <w:r>
        <w:rPr>
          <w:rFonts w:hint="eastAsia" w:ascii="黑体" w:hAnsi="黑体" w:eastAsia="黑体"/>
          <w:bCs/>
          <w:color w:val="000000"/>
          <w:sz w:val="32"/>
          <w:szCs w:val="32"/>
        </w:rPr>
        <w:t>五、命题范围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（一）命题范围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一元函数微积分，其中基本题所占比例不少于5</w:t>
      </w:r>
      <w:r>
        <w:rPr>
          <w:rFonts w:ascii="仿宋_GB2312" w:eastAsia="仿宋_GB2312"/>
          <w:color w:val="000000"/>
          <w:sz w:val="32"/>
          <w:szCs w:val="32"/>
        </w:rPr>
        <w:t>0%</w:t>
      </w:r>
      <w:r>
        <w:rPr>
          <w:rFonts w:hint="eastAsia" w:ascii="仿宋_GB2312" w:eastAsia="仿宋_GB2312"/>
          <w:color w:val="000000"/>
          <w:sz w:val="32"/>
          <w:szCs w:val="32"/>
        </w:rPr>
        <w:t>，其余将反映素质教育的特征、竞赛试题的特征、数学的应用及数学思维方法与逻辑推理。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（二）辅导用书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《高等数学（第八版上册）》（同济大学数学科学学院编、高等教育出版社出版，ISBN：978-7-04-058981-8），也可少量选用有关的工具书和合适的高等数学教材。</w:t>
      </w:r>
    </w:p>
    <w:p>
      <w:pPr>
        <w:spacing w:line="560" w:lineRule="exact"/>
        <w:ind w:firstLine="627" w:firstLineChars="196"/>
        <w:rPr>
          <w:rFonts w:ascii="黑体" w:hAnsi="黑体" w:eastAsia="黑体"/>
          <w:bCs/>
          <w:color w:val="000000"/>
          <w:sz w:val="32"/>
          <w:szCs w:val="32"/>
        </w:rPr>
      </w:pPr>
      <w:r>
        <w:rPr>
          <w:rFonts w:hint="eastAsia" w:ascii="黑体" w:hAnsi="黑体" w:eastAsia="黑体"/>
          <w:bCs/>
          <w:color w:val="000000"/>
          <w:sz w:val="32"/>
          <w:szCs w:val="32"/>
        </w:rPr>
        <w:t>六、奖项设置</w:t>
      </w:r>
    </w:p>
    <w:p>
      <w:pPr>
        <w:spacing w:line="560" w:lineRule="exact"/>
        <w:ind w:firstLine="640" w:firstLineChars="200"/>
        <w:rPr>
          <w:rFonts w:ascii="仿宋_GB2312" w:eastAsia="仿宋_GB2312"/>
          <w:color w:val="000000"/>
          <w:sz w:val="32"/>
          <w:szCs w:val="32"/>
        </w:rPr>
      </w:pPr>
      <w:bookmarkStart w:id="0" w:name="_Hlk103602128"/>
      <w:r>
        <w:rPr>
          <w:rFonts w:hint="eastAsia" w:ascii="仿宋_GB2312" w:eastAsia="仿宋_GB2312"/>
          <w:color w:val="000000"/>
          <w:sz w:val="32"/>
          <w:szCs w:val="32"/>
        </w:rPr>
        <w:t>（一）获奖比例</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获奖人数为成功参加选拔赛总人数的5</w:t>
      </w:r>
      <w:r>
        <w:rPr>
          <w:rFonts w:ascii="仿宋_GB2312" w:eastAsia="仿宋_GB2312"/>
          <w:color w:val="000000"/>
          <w:sz w:val="32"/>
          <w:szCs w:val="32"/>
        </w:rPr>
        <w:t>0%</w:t>
      </w:r>
      <w:r>
        <w:rPr>
          <w:rFonts w:hint="eastAsia" w:ascii="仿宋_GB2312" w:eastAsia="仿宋_GB2312"/>
          <w:color w:val="000000"/>
          <w:sz w:val="32"/>
          <w:szCs w:val="32"/>
        </w:rPr>
        <w:t>，其中一等奖1</w:t>
      </w:r>
      <w:r>
        <w:rPr>
          <w:rFonts w:ascii="仿宋_GB2312" w:eastAsia="仿宋_GB2312"/>
          <w:color w:val="000000"/>
          <w:sz w:val="32"/>
          <w:szCs w:val="32"/>
        </w:rPr>
        <w:t>0%</w:t>
      </w:r>
      <w:r>
        <w:rPr>
          <w:rFonts w:hint="eastAsia" w:ascii="仿宋_GB2312" w:eastAsia="仿宋_GB2312"/>
          <w:color w:val="000000"/>
          <w:sz w:val="32"/>
          <w:szCs w:val="32"/>
        </w:rPr>
        <w:t>，二等奖1</w:t>
      </w:r>
      <w:r>
        <w:rPr>
          <w:rFonts w:ascii="仿宋_GB2312" w:eastAsia="仿宋_GB2312"/>
          <w:color w:val="000000"/>
          <w:sz w:val="32"/>
          <w:szCs w:val="32"/>
        </w:rPr>
        <w:t>5%</w:t>
      </w:r>
      <w:r>
        <w:rPr>
          <w:rFonts w:hint="eastAsia" w:ascii="仿宋_GB2312" w:eastAsia="仿宋_GB2312"/>
          <w:color w:val="000000"/>
          <w:sz w:val="32"/>
          <w:szCs w:val="32"/>
        </w:rPr>
        <w:t>，三等奖2</w:t>
      </w:r>
      <w:r>
        <w:rPr>
          <w:rFonts w:ascii="仿宋_GB2312" w:eastAsia="仿宋_GB2312"/>
          <w:color w:val="000000"/>
          <w:sz w:val="32"/>
          <w:szCs w:val="32"/>
        </w:rPr>
        <w:t>5%</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（二）资格选拔</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我校校内选拔赛获奖人员获参加江苏省决赛资格。</w:t>
      </w:r>
    </w:p>
    <w:bookmarkEnd w:id="0"/>
    <w:p>
      <w:pPr>
        <w:spacing w:line="560" w:lineRule="exact"/>
        <w:ind w:firstLine="627" w:firstLineChars="196"/>
        <w:rPr>
          <w:rFonts w:ascii="黑体" w:hAnsi="黑体" w:eastAsia="黑体"/>
          <w:bCs/>
          <w:color w:val="000000"/>
          <w:sz w:val="32"/>
          <w:szCs w:val="32"/>
        </w:rPr>
      </w:pPr>
      <w:r>
        <w:rPr>
          <w:rFonts w:hint="eastAsia" w:ascii="黑体" w:hAnsi="黑体" w:eastAsia="黑体"/>
          <w:bCs/>
          <w:color w:val="000000"/>
          <w:sz w:val="32"/>
          <w:szCs w:val="32"/>
        </w:rPr>
        <w:t>七、报名方式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（一）报名时间</w:t>
      </w:r>
    </w:p>
    <w:p>
      <w:pPr>
        <w:spacing w:line="560" w:lineRule="exact"/>
        <w:ind w:firstLine="640" w:firstLineChars="200"/>
        <w:rPr>
          <w:rFonts w:ascii="仿宋_GB2312" w:eastAsia="仿宋_GB2312"/>
          <w:b/>
          <w:bCs/>
          <w:color w:val="000000"/>
          <w:sz w:val="32"/>
          <w:szCs w:val="32"/>
          <w:em w:val="dot"/>
        </w:rPr>
      </w:pPr>
      <w:r>
        <w:rPr>
          <w:rFonts w:hint="eastAsia" w:ascii="仿宋_GB2312" w:eastAsia="仿宋_GB2312"/>
          <w:color w:val="000000"/>
          <w:sz w:val="32"/>
          <w:szCs w:val="32"/>
        </w:rPr>
        <w:t>本着自愿报名原则，各学院、海安校区管委会组织学生报名，</w:t>
      </w:r>
      <w:r>
        <w:rPr>
          <w:rFonts w:hint="eastAsia" w:ascii="仿宋_GB2312" w:eastAsia="仿宋_GB2312"/>
          <w:b/>
          <w:bCs/>
          <w:color w:val="000000"/>
          <w:sz w:val="32"/>
          <w:szCs w:val="32"/>
          <w:em w:val="dot"/>
        </w:rPr>
        <w:t>并于2024年3月15日前用手机QQ扫描下方二维码（左） 报名，报名成功后用学习通APP扫描下方二维码（右）进入“NIT2024高数竞赛”课程（注：（1）每位参赛者请务必加入学习通课程，以便接收考试安排通知；（2）仅加入学习通课程而未正确扫码报名的视作无效报名，无效报名者将不安排考试）。</w:t>
      </w:r>
    </w:p>
    <w:p>
      <w:pPr>
        <w:jc w:val="center"/>
        <w:rPr>
          <w:rFonts w:ascii="仿宋_GB2312" w:eastAsia="仿宋_GB2312"/>
          <w:color w:val="000000"/>
          <w:sz w:val="32"/>
          <w:szCs w:val="32"/>
        </w:rPr>
      </w:pPr>
      <w:r>
        <w:drawing>
          <wp:inline distT="0" distB="0" distL="114300" distR="114300">
            <wp:extent cx="1133475" cy="11334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133475" cy="1133475"/>
                    </a:xfrm>
                    <a:prstGeom prst="rect">
                      <a:avLst/>
                    </a:prstGeom>
                    <a:noFill/>
                    <a:ln>
                      <a:noFill/>
                    </a:ln>
                  </pic:spPr>
                </pic:pic>
              </a:graphicData>
            </a:graphic>
          </wp:inline>
        </w:drawing>
      </w:r>
      <w:r>
        <w:rPr>
          <w:rFonts w:hint="eastAsia" w:ascii="仿宋_GB2312" w:eastAsia="仿宋_GB2312"/>
          <w:color w:val="000000"/>
          <w:sz w:val="32"/>
          <w:szCs w:val="32"/>
        </w:rPr>
        <w:t xml:space="preserve"> </w:t>
      </w:r>
      <w:r>
        <w:rPr>
          <w:rFonts w:ascii="仿宋_GB2312" w:eastAsia="仿宋_GB2312"/>
          <w:color w:val="000000"/>
          <w:sz w:val="32"/>
          <w:szCs w:val="32"/>
        </w:rPr>
        <w:t xml:space="preserve">        </w:t>
      </w:r>
      <w:r>
        <w:drawing>
          <wp:inline distT="0" distB="0" distL="114300" distR="114300">
            <wp:extent cx="1127125" cy="1133475"/>
            <wp:effectExtent l="0" t="0" r="1587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127125" cy="1133475"/>
                    </a:xfrm>
                    <a:prstGeom prst="rect">
                      <a:avLst/>
                    </a:prstGeom>
                    <a:noFill/>
                    <a:ln>
                      <a:noFill/>
                    </a:ln>
                  </pic:spPr>
                </pic:pic>
              </a:graphicData>
            </a:graphic>
          </wp:inline>
        </w:drawing>
      </w:r>
    </w:p>
    <w:p>
      <w:pPr>
        <w:ind w:firstLine="2319" w:firstLineChars="1100"/>
        <w:rPr>
          <w:rFonts w:ascii="仿宋_GB2312" w:eastAsia="仿宋_GB2312"/>
          <w:color w:val="000000"/>
          <w:szCs w:val="21"/>
        </w:rPr>
      </w:pPr>
      <w:r>
        <w:rPr>
          <w:rFonts w:hint="eastAsia" w:ascii="仿宋_GB2312" w:eastAsia="仿宋_GB2312"/>
          <w:b/>
          <w:bCs/>
          <w:color w:val="000000"/>
          <w:szCs w:val="21"/>
        </w:rPr>
        <w:t>报名二维码</w:t>
      </w:r>
      <w:r>
        <w:rPr>
          <w:rFonts w:hint="eastAsia" w:ascii="仿宋_GB2312" w:eastAsia="仿宋_GB2312"/>
          <w:color w:val="000000"/>
          <w:szCs w:val="21"/>
        </w:rPr>
        <w:t xml:space="preserve"> </w:t>
      </w:r>
      <w:r>
        <w:rPr>
          <w:rFonts w:ascii="仿宋_GB2312" w:eastAsia="仿宋_GB2312"/>
          <w:color w:val="000000"/>
          <w:szCs w:val="21"/>
        </w:rPr>
        <w:t xml:space="preserve">                  </w:t>
      </w:r>
      <w:r>
        <w:rPr>
          <w:rFonts w:hint="eastAsia" w:ascii="仿宋_GB2312" w:eastAsia="仿宋_GB2312"/>
          <w:b/>
          <w:bCs/>
          <w:color w:val="000000"/>
          <w:szCs w:val="21"/>
        </w:rPr>
        <w:t>学习通二维码</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（二）报名费用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选拔赛无需缴纳报名费，进入省决赛的同学届时需缴纳报名费7</w:t>
      </w:r>
      <w:r>
        <w:rPr>
          <w:rFonts w:ascii="仿宋_GB2312" w:eastAsia="仿宋_GB2312"/>
          <w:color w:val="000000"/>
          <w:sz w:val="32"/>
          <w:szCs w:val="32"/>
        </w:rPr>
        <w:t>0</w:t>
      </w:r>
      <w:r>
        <w:rPr>
          <w:rFonts w:hint="eastAsia" w:ascii="仿宋_GB2312" w:eastAsia="仿宋_GB2312"/>
          <w:color w:val="000000"/>
          <w:sz w:val="32"/>
          <w:szCs w:val="32"/>
        </w:rPr>
        <w:t>元/人（全省统一规定）。</w:t>
      </w:r>
    </w:p>
    <w:p>
      <w:pPr>
        <w:spacing w:line="56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八、时间安排</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（一）宣传发动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2024年2月26日至2024年3月4日。</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（二）组织报名</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2024年3月4日至2024年3月15日（</w:t>
      </w:r>
      <w:r>
        <w:rPr>
          <w:rFonts w:hint="eastAsia" w:ascii="仿宋_GB2312" w:eastAsia="仿宋_GB2312"/>
          <w:b/>
          <w:bCs/>
          <w:color w:val="000000"/>
          <w:sz w:val="32"/>
          <w:szCs w:val="32"/>
        </w:rPr>
        <w:t>报名系统将于2024年3月15日23时59分自动关闭，关闭后将不再接受任何报名信息</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（三）竞赛实施</w:t>
      </w:r>
    </w:p>
    <w:p>
      <w:pPr>
        <w:spacing w:line="560" w:lineRule="exact"/>
        <w:ind w:left="220" w:firstLine="420"/>
        <w:rPr>
          <w:rFonts w:ascii="仿宋_GB2312" w:eastAsia="仿宋_GB2312"/>
          <w:color w:val="000000"/>
          <w:sz w:val="32"/>
          <w:szCs w:val="32"/>
        </w:rPr>
      </w:pPr>
      <w:r>
        <w:rPr>
          <w:rFonts w:hint="eastAsia" w:ascii="仿宋_GB2312" w:eastAsia="仿宋_GB2312"/>
          <w:color w:val="000000"/>
          <w:sz w:val="32"/>
          <w:szCs w:val="32"/>
        </w:rPr>
        <w:t>校内选拔赛：2024年3月20日（星期三）15:30-17:00。</w:t>
      </w:r>
    </w:p>
    <w:p>
      <w:pPr>
        <w:spacing w:line="560" w:lineRule="exact"/>
        <w:ind w:left="220" w:firstLine="420"/>
        <w:rPr>
          <w:rFonts w:ascii="仿宋_GB2312" w:eastAsia="仿宋_GB2312"/>
          <w:color w:val="000000"/>
          <w:sz w:val="32"/>
          <w:szCs w:val="32"/>
        </w:rPr>
      </w:pPr>
      <w:r>
        <w:rPr>
          <w:rFonts w:hint="eastAsia" w:ascii="仿宋_GB2312" w:eastAsia="仿宋_GB2312"/>
          <w:color w:val="000000"/>
          <w:sz w:val="32"/>
          <w:szCs w:val="32"/>
        </w:rPr>
        <w:t>地点：南通理工学院南通校区和海安校区。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江苏省决赛：2024年5月25日（星期六）9:00-12:00。</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地点：南通理工学院南通校区。</w:t>
      </w:r>
    </w:p>
    <w:p>
      <w:pPr>
        <w:spacing w:line="560" w:lineRule="exact"/>
        <w:ind w:firstLine="640" w:firstLineChars="200"/>
        <w:rPr>
          <w:rFonts w:ascii="黑体" w:hAnsi="黑体" w:eastAsia="黑体"/>
          <w:bCs/>
          <w:color w:val="000000"/>
          <w:sz w:val="32"/>
          <w:szCs w:val="32"/>
        </w:rPr>
      </w:pPr>
      <w:r>
        <w:rPr>
          <w:rFonts w:hint="eastAsia" w:ascii="黑体" w:hAnsi="黑体" w:eastAsia="黑体"/>
          <w:bCs/>
          <w:color w:val="000000"/>
          <w:sz w:val="32"/>
          <w:szCs w:val="32"/>
        </w:rPr>
        <w:t>九、其它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（一）获奖证书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基础教学学院向获奖学生颁发统一制作的获奖证书。</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（二）竞赛辅导</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在学生自我学习备赛的基础上，基础教学学院高等数学竞赛小组教师将对通过选拔赛的学生进行集中辅导，具体安排待选拔结束后进行通知。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30204"/>
    <w:charset w:val="00"/>
    <w:family w:val="swiss"/>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YzczZTE4YTQyOTQwYjU0NDQyNGYwZTRlMzA3MWQifQ=="/>
  </w:docVars>
  <w:rsids>
    <w:rsidRoot w:val="50B063DE"/>
    <w:rsid w:val="50B0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2024-03-11T09:21:00Z</dcterms:created>
  <dc:creator>·</dc:creator>
  <cp:lastModifiedBy>·</cp:lastModifiedBy>
  <dcterms:modified xsi:type="dcterms:W3CDTF">2024-03-11T09:22:56Z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1FB85C035DE94265857AFB5675301F43_11</vt:lpwstr>
  </property>
</Properties>
</file>